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0D2F0A" w:rsidRDefault="008C6C26" w:rsidP="008C6C26">
      <w:pPr>
        <w:rPr>
          <w:rFonts w:ascii="EC Square Sans Cond Pro" w:hAnsi="EC Square Sans Cond Pro" w:cs="Arial"/>
          <w:b/>
        </w:rPr>
      </w:pPr>
      <w:r w:rsidRPr="000D2F0A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0D2F0A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0D2F0A">
        <w:rPr>
          <w:rFonts w:ascii="EC Square Sans Cond Pro" w:hAnsi="EC Square Sans Cond Pro" w:cs="Arial"/>
          <w:b/>
          <w:bCs/>
          <w:sz w:val="24"/>
          <w:szCs w:val="24"/>
          <w:lang w:val="mt"/>
        </w:rPr>
        <w:t>Informazzjoni dwar operazzjonijiet magħżula ta' importanza strateġika</w:t>
      </w:r>
      <w:r w:rsidRPr="000D2F0A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mt"/>
        </w:rPr>
        <w:footnoteReference w:id="1"/>
      </w:r>
      <w:r w:rsidRPr="000D2F0A">
        <w:rPr>
          <w:rFonts w:ascii="EC Square Sans Cond Pro" w:hAnsi="EC Square Sans Cond Pro" w:cs="Arial"/>
          <w:b/>
          <w:bCs/>
          <w:sz w:val="24"/>
          <w:szCs w:val="24"/>
          <w:lang w:val="m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0D2F0A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0D2F0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0D2F0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0D2F0A">
              <w:rPr>
                <w:rFonts w:ascii="EC Square Sans Cond Pro" w:hAnsi="EC Square Sans Cond Pro" w:cs="Arial"/>
                <w:b/>
                <w:bCs/>
                <w:lang w:val="mt"/>
              </w:rPr>
              <w:t xml:space="preserve">Informazzjoni dwar il-proġett u l-benefiċjarju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0D2F0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</w:tr>
      <w:tr w:rsidR="002D70B3" w:rsidRPr="000D2F0A" w14:paraId="609853D5" w14:textId="77777777" w:rsidTr="000A07EF">
        <w:tc>
          <w:tcPr>
            <w:tcW w:w="595" w:type="dxa"/>
            <w:vAlign w:val="center"/>
          </w:tcPr>
          <w:p w14:paraId="097F279C" w14:textId="77777777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1E9F0607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Isem il-benefiċjarju tal-operazzjoni ta’ importanza strateġika, inkluż l-isem u l-kunjom jekk il-benefiċjarju huwa persuna fiżika,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 xml:space="preserve"> </w:t>
            </w:r>
            <w:r w:rsidRPr="000D2F0A">
              <w:rPr>
                <w:rFonts w:ascii="EC Square Sans Cond Pro" w:hAnsi="EC Square Sans Cond Pro" w:cs="Arial"/>
                <w:lang w:val="mt"/>
              </w:rPr>
              <w:t>u isem il-kuntrattur, f’każ ta’ akkwist pubbliku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54D15511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</w:p>
        </w:tc>
      </w:tr>
      <w:tr w:rsidR="002D70B3" w:rsidRPr="000D2F0A" w14:paraId="6BBAA0A8" w14:textId="77777777" w:rsidTr="000A07EF">
        <w:tc>
          <w:tcPr>
            <w:tcW w:w="595" w:type="dxa"/>
            <w:vAlign w:val="center"/>
          </w:tcPr>
          <w:p w14:paraId="6303649F" w14:textId="2FA03041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6ADAEDAD" w14:textId="77777777" w:rsidR="002D70B3" w:rsidRPr="000D2F0A" w:rsidRDefault="002D70B3" w:rsidP="002D70B3">
            <w:pPr>
              <w:rPr>
                <w:rFonts w:ascii="EC Square Sans Cond Pro" w:hAnsi="EC Square Sans Cond Pro" w:cs="Arial"/>
                <w:lang w:val="pl-P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Tħaddim ta’ kodiċi uniku ta’ importanza strateġika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  <w:p w14:paraId="47E69179" w14:textId="6BDD04EC" w:rsidR="002D70B3" w:rsidRPr="002D70B3" w:rsidRDefault="002D70B3" w:rsidP="002D70B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Jekk jogħġbok introduċi l-kodiċi uniku kif deskritt fl-Artikolu 49(3) tas-CPR.</w:t>
            </w:r>
          </w:p>
        </w:tc>
        <w:tc>
          <w:tcPr>
            <w:tcW w:w="3918" w:type="dxa"/>
            <w:vAlign w:val="center"/>
          </w:tcPr>
          <w:p w14:paraId="7367AF3D" w14:textId="4A1DE16A" w:rsidR="002D70B3" w:rsidRPr="000D2F0A" w:rsidRDefault="002D70B3" w:rsidP="002D70B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2D70B3" w:rsidRPr="000D2F0A" w14:paraId="369F8B8C" w14:textId="77777777" w:rsidTr="000A07EF">
        <w:tc>
          <w:tcPr>
            <w:tcW w:w="595" w:type="dxa"/>
            <w:vAlign w:val="center"/>
          </w:tcPr>
          <w:p w14:paraId="71B243A4" w14:textId="45C4955F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3.</w:t>
            </w:r>
          </w:p>
        </w:tc>
        <w:tc>
          <w:tcPr>
            <w:tcW w:w="4503" w:type="dxa"/>
            <w:vAlign w:val="center"/>
          </w:tcPr>
          <w:p w14:paraId="0268B1CD" w14:textId="77777777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In-numru ta’ identifikazzjoni tar-reġistru tal-flotta tas-sajd tal-Unjoni</w:t>
            </w:r>
          </w:p>
          <w:p w14:paraId="666A6AEC" w14:textId="0579AEB0" w:rsidR="002D70B3" w:rsidRPr="002D70B3" w:rsidRDefault="002D70B3" w:rsidP="002D70B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Għall-operazzjonijiet tal-FEMSA biss. Deskritt fl-Artikolu 49(3)(c) tal-RDK u msemmi fir-Regolament ta’ Implimentazzjoni tal-Kummissjoni (UE) 2017/218.</w:t>
            </w:r>
          </w:p>
        </w:tc>
        <w:tc>
          <w:tcPr>
            <w:tcW w:w="3918" w:type="dxa"/>
            <w:vAlign w:val="center"/>
          </w:tcPr>
          <w:p w14:paraId="1B94CD95" w14:textId="27BE72B1" w:rsidR="002D70B3" w:rsidRPr="000D2F0A" w:rsidRDefault="002D70B3" w:rsidP="002D70B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mt"/>
              </w:rPr>
            </w:pPr>
          </w:p>
        </w:tc>
      </w:tr>
      <w:tr w:rsidR="002D70B3" w:rsidRPr="000D2F0A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389096A4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Isem l-operazzjoni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5042C8B7" w:rsidR="002D70B3" w:rsidRPr="000D2F0A" w:rsidRDefault="002D70B3" w:rsidP="002D70B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D70B3" w:rsidRPr="000D2F0A" w14:paraId="66065FF7" w14:textId="77777777" w:rsidTr="000A07EF">
        <w:tc>
          <w:tcPr>
            <w:tcW w:w="595" w:type="dxa"/>
            <w:vAlign w:val="center"/>
          </w:tcPr>
          <w:p w14:paraId="202400D8" w14:textId="50251F91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5.</w:t>
            </w:r>
          </w:p>
        </w:tc>
        <w:tc>
          <w:tcPr>
            <w:tcW w:w="4503" w:type="dxa"/>
            <w:vAlign w:val="center"/>
          </w:tcPr>
          <w:p w14:paraId="16935BC1" w14:textId="77777777" w:rsidR="002D70B3" w:rsidRPr="000D2F0A" w:rsidRDefault="002D70B3" w:rsidP="002D70B3">
            <w:pPr>
              <w:spacing w:after="120"/>
              <w:rPr>
                <w:rFonts w:ascii="EC Square Sans Cond Pro" w:hAnsi="EC Square Sans Cond Pro" w:cs="Arial"/>
                <w:lang w:val="pl-P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L-iskop tal-operazzjoni u l-kisbiet mistennija jew attwali tagħha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  <w:p w14:paraId="2E33B52F" w14:textId="77777777" w:rsidR="002D70B3" w:rsidRPr="002D70B3" w:rsidRDefault="002D70B3" w:rsidP="002D70B3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Jekk jogħġbok ikkunsidra li tintroduċi dan li ġej:</w:t>
            </w:r>
          </w:p>
          <w:p w14:paraId="10BA9D26" w14:textId="77777777" w:rsidR="002D70B3" w:rsidRPr="002D70B3" w:rsidRDefault="002D70B3" w:rsidP="002D70B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Deskrizzjoni tal-isfida li l-proġett qed jindirizza u l-kuntest rilevanti, inklużi elementi li jagħmlu l-proġett strateġikament importanti; </w:t>
            </w:r>
          </w:p>
          <w:p w14:paraId="622B82CF" w14:textId="77777777" w:rsidR="002D70B3" w:rsidRPr="002D70B3" w:rsidRDefault="002D70B3" w:rsidP="002D70B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L-objettivi tal-proġett, l-iskop u l-kisbiet mistennija, inklużi l-indikaturi tar-riżultati u tal-eżitu u l-kontribuzzjoni sinifikanti li l-operazzjoni qed tipprovdi għall-kisba tal-objettivi tal-programm;</w:t>
            </w:r>
          </w:p>
          <w:p w14:paraId="3A462E65" w14:textId="77777777" w:rsidR="002D70B3" w:rsidRPr="000D2F0A" w:rsidRDefault="002D70B3" w:rsidP="002D70B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Attivitajiet tal-proġett; </w:t>
            </w:r>
          </w:p>
          <w:p w14:paraId="557384F7" w14:textId="316EA173" w:rsidR="002D70B3" w:rsidRPr="000D2F0A" w:rsidRDefault="002D70B3" w:rsidP="002D70B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Gruppi fil-mira, partijiet interessati, utenti finali u ċittadini oħra li se jibbenefikaw mill-proġett. </w:t>
            </w:r>
          </w:p>
        </w:tc>
        <w:tc>
          <w:tcPr>
            <w:tcW w:w="3918" w:type="dxa"/>
            <w:vAlign w:val="center"/>
          </w:tcPr>
          <w:p w14:paraId="7533F9E3" w14:textId="2D265A86" w:rsidR="002D70B3" w:rsidRPr="000D2F0A" w:rsidRDefault="002D70B3" w:rsidP="002D70B3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</w:rPr>
            </w:pPr>
          </w:p>
        </w:tc>
      </w:tr>
      <w:tr w:rsidR="002602E1" w:rsidRPr="000D2F0A" w14:paraId="2EEA8768" w14:textId="77777777" w:rsidTr="000A07EF">
        <w:tc>
          <w:tcPr>
            <w:tcW w:w="595" w:type="dxa"/>
            <w:vAlign w:val="center"/>
          </w:tcPr>
          <w:p w14:paraId="1D9C7327" w14:textId="0D3DE550" w:rsidR="002602E1" w:rsidRPr="000D2F0A" w:rsidRDefault="002602E1" w:rsidP="002602E1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6.</w:t>
            </w:r>
          </w:p>
        </w:tc>
        <w:tc>
          <w:tcPr>
            <w:tcW w:w="4503" w:type="dxa"/>
            <w:vAlign w:val="center"/>
          </w:tcPr>
          <w:p w14:paraId="2B295BAF" w14:textId="77777777" w:rsidR="002D70B3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Tip ta’ intervent għall-operazzjoni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  <w:p w14:paraId="440CBE64" w14:textId="6CAF0171" w:rsidR="002602E1" w:rsidRPr="000D2F0A" w:rsidRDefault="002D70B3" w:rsidP="002D70B3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Skont il-punt (g) tal-Artikolu 73(2) u l-Anness I tal-RDK.</w:t>
            </w:r>
          </w:p>
        </w:tc>
        <w:tc>
          <w:tcPr>
            <w:tcW w:w="3918" w:type="dxa"/>
            <w:vAlign w:val="center"/>
          </w:tcPr>
          <w:p w14:paraId="37F0E0BD" w14:textId="7DA64AC8" w:rsidR="002602E1" w:rsidRPr="000D2F0A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 xml:space="preserve"> </w:t>
            </w:r>
          </w:p>
        </w:tc>
      </w:tr>
      <w:tr w:rsidR="002602E1" w:rsidRPr="002D70B3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0D2F0A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2D70B3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0D2F0A">
              <w:rPr>
                <w:rFonts w:ascii="EC Square Sans Cond Pro" w:hAnsi="EC Square Sans Cond Pro" w:cs="Arial"/>
                <w:b/>
                <w:bCs/>
                <w:lang w:val="mt"/>
              </w:rPr>
              <w:t>Skeda ta’ żmien u informazzjoni dwar il-baġit</w:t>
            </w:r>
          </w:p>
        </w:tc>
      </w:tr>
      <w:tr w:rsidR="001A6A3A" w:rsidRPr="000D2F0A" w14:paraId="7E525993" w14:textId="77777777" w:rsidTr="000A07EF">
        <w:tc>
          <w:tcPr>
            <w:tcW w:w="595" w:type="dxa"/>
            <w:vAlign w:val="center"/>
          </w:tcPr>
          <w:p w14:paraId="3DCAABC2" w14:textId="0F002706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0BA92FFC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Data tal-bidu tal-operazzjoni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39DF3516" w:rsidR="001A6A3A" w:rsidRPr="000D2F0A" w:rsidRDefault="001A6A3A" w:rsidP="001A6A3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A6A3A" w:rsidRPr="000D2F0A" w14:paraId="7F689301" w14:textId="77777777" w:rsidTr="000A07EF">
        <w:tc>
          <w:tcPr>
            <w:tcW w:w="595" w:type="dxa"/>
            <w:vAlign w:val="center"/>
          </w:tcPr>
          <w:p w14:paraId="38435F01" w14:textId="7370B346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1B173409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Data mistennija jew attwali tat-tlestija tal-operazzjoni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43045B24" w:rsidR="001A6A3A" w:rsidRPr="000D2F0A" w:rsidRDefault="001A6A3A" w:rsidP="001A6A3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A6A3A" w:rsidRPr="000D2F0A" w14:paraId="3E94F8D1" w14:textId="77777777" w:rsidTr="000A07EF">
        <w:tc>
          <w:tcPr>
            <w:tcW w:w="595" w:type="dxa"/>
            <w:vAlign w:val="center"/>
          </w:tcPr>
          <w:p w14:paraId="69DC8240" w14:textId="44B5E285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388D96B7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Spiża totali tal-operazzjoni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19295F3A" w:rsidR="001A6A3A" w:rsidRPr="000D2F0A" w:rsidRDefault="001A6A3A" w:rsidP="001A6A3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A6A3A" w:rsidRPr="000D2F0A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1A6A3A" w:rsidRPr="000D2F0A" w:rsidRDefault="001A6A3A" w:rsidP="001A6A3A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488C378D" w:rsidR="001A6A3A" w:rsidRPr="000D2F0A" w:rsidRDefault="001A6A3A" w:rsidP="001A6A3A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Kontribuzzjoni tal-UE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6337042B" w:rsidR="001A6A3A" w:rsidRPr="000D2F0A" w:rsidRDefault="001A6A3A" w:rsidP="001A6A3A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1A6A3A" w:rsidRPr="002D70B3" w14:paraId="188B884F" w14:textId="77777777" w:rsidTr="000A07EF">
        <w:tc>
          <w:tcPr>
            <w:tcW w:w="595" w:type="dxa"/>
            <w:vAlign w:val="center"/>
          </w:tcPr>
          <w:p w14:paraId="6F160308" w14:textId="260F52F4" w:rsidR="001A6A3A" w:rsidRPr="000D2F0A" w:rsidRDefault="001A6A3A" w:rsidP="001A6A3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07050259" w:rsidR="001A6A3A" w:rsidRPr="001A6A3A" w:rsidRDefault="001A6A3A" w:rsidP="001A6A3A">
            <w:pPr>
              <w:rPr>
                <w:rFonts w:ascii="EC Square Sans Cond Pro" w:hAnsi="EC Square Sans Cond Pro" w:cs="Arial"/>
                <w:lang w:val="pl-P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Rata ta’ kofinanzjament tal-Unjoni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50A7C621" w:rsidR="001A6A3A" w:rsidRPr="002D70B3" w:rsidRDefault="001A6A3A" w:rsidP="001A6A3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7A2F2A" w:rsidRPr="000D2F0A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2D70B3" w:rsidRDefault="007A2F2A" w:rsidP="007A2F2A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0D2F0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0D2F0A">
              <w:rPr>
                <w:rFonts w:ascii="EC Square Sans Cond Pro" w:hAnsi="EC Square Sans Cond Pro" w:cs="Arial"/>
                <w:b/>
                <w:bCs/>
                <w:lang w:val="mt"/>
              </w:rPr>
              <w:t>Informazzjoni dwar il-post</w:t>
            </w:r>
          </w:p>
        </w:tc>
      </w:tr>
      <w:tr w:rsidR="007A2F2A" w:rsidRPr="000D2F0A" w14:paraId="66AFE8C2" w14:textId="77777777" w:rsidTr="000A07EF">
        <w:tc>
          <w:tcPr>
            <w:tcW w:w="595" w:type="dxa"/>
            <w:vAlign w:val="center"/>
          </w:tcPr>
          <w:p w14:paraId="67B7D029" w14:textId="3109E83D" w:rsidR="007A2F2A" w:rsidRPr="000D2F0A" w:rsidRDefault="007A2F2A" w:rsidP="007A2F2A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12.</w:t>
            </w:r>
          </w:p>
        </w:tc>
        <w:tc>
          <w:tcPr>
            <w:tcW w:w="4503" w:type="dxa"/>
            <w:vAlign w:val="center"/>
          </w:tcPr>
          <w:p w14:paraId="30BC6D5F" w14:textId="77777777" w:rsidR="00F97D06" w:rsidRPr="000D2F0A" w:rsidRDefault="00F97D06" w:rsidP="00F97D06">
            <w:pPr>
              <w:spacing w:after="80"/>
              <w:rPr>
                <w:rFonts w:ascii="EC Square Sans Cond Pro" w:hAnsi="EC Square Sans Cond Pro" w:cs="Arial"/>
                <w:color w:val="FF0000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Indikatur tal-post jew ġeolokazzjoni għall-operazzjoni u l-pajjiż ikkonċernat</w:t>
            </w:r>
          </w:p>
          <w:p w14:paraId="47BCAEC0" w14:textId="77777777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Għal operazzjonijiet mobbli jew operazzjonijiet li jkopru diversi postijiet il-post tal-benefiċjarju fejn il-benefiċjarju huwa entità legali; jew ir-reġjun tal-livell NUTS 2 fejn il-benefiċjarju huwa persuna fiżika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  <w:p w14:paraId="17E1C5BF" w14:textId="2C88E267" w:rsidR="007A2F2A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>Il-latitudni u l-lonġitudni ġeografiċi se jipprovdu l-aktar postijiet preċiżi tal-operazzjonijiet.</w:t>
            </w:r>
          </w:p>
        </w:tc>
        <w:tc>
          <w:tcPr>
            <w:tcW w:w="3918" w:type="dxa"/>
            <w:vAlign w:val="center"/>
          </w:tcPr>
          <w:p w14:paraId="6FDC04C5" w14:textId="071D5F39" w:rsidR="007A2F2A" w:rsidRPr="000D2F0A" w:rsidRDefault="007A2F2A" w:rsidP="007A2F2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0D2F0A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7A2F2A" w:rsidRPr="000D2F0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7A2F2A" w:rsidRPr="000D2F0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0D2F0A">
              <w:rPr>
                <w:rFonts w:ascii="EC Square Sans Cond Pro" w:hAnsi="EC Square Sans Cond Pro" w:cs="Arial"/>
                <w:b/>
                <w:bCs/>
                <w:lang w:val="mt"/>
              </w:rPr>
              <w:t xml:space="preserve">Informazzjoni dwar il-programm </w:t>
            </w:r>
          </w:p>
        </w:tc>
      </w:tr>
      <w:tr w:rsidR="00F97D06" w:rsidRPr="000D2F0A" w14:paraId="0CFC78F1" w14:textId="77777777" w:rsidTr="000A07EF">
        <w:tc>
          <w:tcPr>
            <w:tcW w:w="595" w:type="dxa"/>
            <w:vAlign w:val="center"/>
          </w:tcPr>
          <w:p w14:paraId="71F54239" w14:textId="1A43F3EC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62EF8F09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Fond(i) kkonċernati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28E91990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97D06" w:rsidRPr="000D2F0A" w14:paraId="25A63637" w14:textId="77777777" w:rsidTr="000A07EF">
        <w:tc>
          <w:tcPr>
            <w:tcW w:w="595" w:type="dxa"/>
            <w:vAlign w:val="center"/>
          </w:tcPr>
          <w:p w14:paraId="4CB86B0D" w14:textId="370B07AF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14:</w:t>
            </w:r>
          </w:p>
        </w:tc>
        <w:tc>
          <w:tcPr>
            <w:tcW w:w="4503" w:type="dxa"/>
            <w:vAlign w:val="center"/>
          </w:tcPr>
          <w:p w14:paraId="59EF9FB9" w14:textId="47B2039E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Objettiv speċifiku kkonċernat</w:t>
            </w:r>
            <w:r w:rsidRPr="000D2F0A">
              <w:rPr>
                <w:rFonts w:ascii="EC Square Sans Cond Pro" w:hAnsi="EC Square Sans Cond Pro" w:cs="Arial"/>
                <w:color w:val="FF0000"/>
                <w:lang w:val="mt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11867345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97D06" w:rsidRPr="000D2F0A" w14:paraId="00F21262" w14:textId="77777777" w:rsidTr="000A07EF">
        <w:tc>
          <w:tcPr>
            <w:tcW w:w="595" w:type="dxa"/>
            <w:vAlign w:val="center"/>
          </w:tcPr>
          <w:p w14:paraId="7547C24D" w14:textId="1757B693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585D5073" w:rsidR="00F97D06" w:rsidRPr="000D2F0A" w:rsidRDefault="00F97D06" w:rsidP="00F97D06">
            <w:pPr>
              <w:rPr>
                <w:rFonts w:ascii="EC Square Sans Cond Pro" w:hAnsi="EC Square Sans Cond Pro" w:cs="Arial"/>
              </w:rPr>
            </w:pPr>
            <w:r w:rsidRPr="000D2F0A">
              <w:rPr>
                <w:rFonts w:ascii="EC Square Sans Cond Pro" w:hAnsi="EC Square Sans Cond Pro" w:cs="Arial"/>
                <w:lang w:val="mt"/>
              </w:rPr>
              <w:t>Identifikatur uniku tas-sejħa għal proposti, li permezz tiegħu l-operazzjoni tingħata l-appoġġ tal-UE</w:t>
            </w:r>
          </w:p>
        </w:tc>
        <w:tc>
          <w:tcPr>
            <w:tcW w:w="3918" w:type="dxa"/>
            <w:vAlign w:val="center"/>
          </w:tcPr>
          <w:p w14:paraId="6208A6C1" w14:textId="6E00DC41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0D2F0A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7A2F2A" w:rsidRPr="000D2F0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7A2F2A" w:rsidRPr="000D2F0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0D2F0A">
              <w:rPr>
                <w:rFonts w:ascii="EC Square Sans Cond Pro" w:hAnsi="EC Square Sans Cond Pro" w:cs="Arial"/>
                <w:b/>
                <w:bCs/>
                <w:lang w:val="mt"/>
              </w:rPr>
              <w:t xml:space="preserve">Informazzjoni dwar il-komunikazzjoni </w:t>
            </w:r>
          </w:p>
        </w:tc>
      </w:tr>
      <w:tr w:rsidR="007A2F2A" w:rsidRPr="002D70B3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7A2F2A" w:rsidRPr="000D2F0A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Bl-introduzzjoni tal-informazzjoni msemmija hawn taħt, l-awtorità ta’ ġestjoni tikkonferma u taqbel li l-benefiċjarju u l-awtorità ta’ ġestjoni jiġu kkuntattjati għal azzjonijiet ta’ komunikazzjoni possibbli li jmiss. </w:t>
            </w:r>
          </w:p>
          <w:p w14:paraId="34CF13B4" w14:textId="55863387" w:rsidR="007A2F2A" w:rsidRPr="000D2F0A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Fil-każ ta’ persuni fiżiċi, it-taqsima ta’ hawn taħt m'għandhiex għalfejn timtela. </w:t>
            </w:r>
          </w:p>
          <w:p w14:paraId="4CDDE075" w14:textId="23D022B2" w:rsidR="007A2F2A" w:rsidRPr="000D2F0A" w:rsidRDefault="007A2F2A" w:rsidP="007A2F2A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  <w:t xml:space="preserve">Fl-aħħar nett, l-awtorità ta’ ġestjoni hija mfakkra dwar il-kundizzjonijiet deskritti fl-Artikolu 49(6) (u l-Anness IX) tas-CPR: </w:t>
            </w:r>
          </w:p>
          <w:p w14:paraId="3F654064" w14:textId="77777777" w:rsidR="007A2F2A" w:rsidRPr="002D70B3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  <w:t>“L-awtorità ta’ ġestjoni għandha tiżgura li l-materjal ta’ komunikazzjoni u viżibbiltà inkluż fil-livell tal-benefiċjarji jsir disponibbli fuq talba lill-istituzzjonijiet, korpi, uffiċċji jew aġenziji tal-Unjoni u li tingħata lill-Unjoni liċenzja ħielsa minn royalties, mhux esklużiva u irrevokabbli għall-użu ta’ dan il-materjal u kwalunkwe dritt preeżistenti marbut miegħu skont l-Anness IX. Dan m'għandux jirrikjedi spejjeż addizzjonali sinifikanti jew piż amministrattiv sinifikanti għall-benefiċjarji jew għall-awtorità ta’ ġestjoni.”</w:t>
            </w:r>
          </w:p>
          <w:p w14:paraId="23246043" w14:textId="41F7181F" w:rsidR="007A2F2A" w:rsidRPr="002D70B3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mt"/>
              </w:rPr>
            </w:pPr>
          </w:p>
        </w:tc>
      </w:tr>
      <w:tr w:rsidR="00F97D06" w:rsidRPr="000D2F0A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608424DE" w:rsidR="00F97D06" w:rsidRPr="000D2F0A" w:rsidRDefault="00F97D06" w:rsidP="00F97D06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Kuntatt tal-benefiċjarju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71B60759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F97D06" w:rsidRPr="000D2F0A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5D0F546" w14:textId="77777777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Profili tal-media soċjali tal-benefiċjarju</w:t>
            </w:r>
          </w:p>
          <w:p w14:paraId="3C31F53F" w14:textId="3C5E447D" w:rsidR="00F97D06" w:rsidRPr="000D2F0A" w:rsidRDefault="00F97D06" w:rsidP="00F97D06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  <w:t>F’każ li l-profili ma jkunux magħrufa fil-mument tas-sottomissjoni tad-dokument, jekk jogħġbok aġġornah meta jkunu magħrufa.</w:t>
            </w:r>
            <w:r w:rsidRPr="000D2F0A">
              <w:rPr>
                <w:rFonts w:ascii="EC Square Sans Cond Pro" w:hAnsi="EC Square Sans Cond Pro" w:cs="Arial"/>
                <w:color w:val="7F7F7F" w:themeColor="text1" w:themeTint="80"/>
                <w:lang w:val="m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6E65A4D5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97D06" w:rsidRPr="002D70B3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EF098EA" w14:textId="77777777" w:rsidR="00F97D06" w:rsidRPr="002D70B3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Profili tal-media soċjali tal-awtorità ta’ ġestjoni </w:t>
            </w:r>
          </w:p>
          <w:p w14:paraId="356E8A52" w14:textId="4F27276B" w:rsidR="00F97D06" w:rsidRPr="00F97D06" w:rsidRDefault="00F97D06" w:rsidP="00F97D06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  <w:t xml:space="preserve">Jekk jogħġbok daħħal il-profili li se jintużaw għall-komunikazzjoni dwar l-operazzjoni.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4DBBBC03" w:rsidR="00F97D06" w:rsidRPr="002D70B3" w:rsidRDefault="00F97D06" w:rsidP="00F97D06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F97D06" w:rsidRPr="000D2F0A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63F75995" w14:textId="77777777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Sit web tal-operazzjoni ta’ importanza strateġika </w:t>
            </w:r>
          </w:p>
          <w:p w14:paraId="3ACC6EFF" w14:textId="23348E36" w:rsidR="00F97D06" w:rsidRPr="000D2F0A" w:rsidRDefault="00F97D06" w:rsidP="00F97D06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  <w:t>F’każ li s-sit web ma jkunx magħruf fil-mument tas-sottomissjoni tad-dokument, jekk jogħġbok aġġornah meta jkun magħruf.</w:t>
            </w:r>
            <w:r w:rsidRPr="000D2F0A">
              <w:rPr>
                <w:rFonts w:ascii="EC Square Sans Cond Pro" w:hAnsi="EC Square Sans Cond Pro" w:cs="Arial"/>
                <w:color w:val="7F7F7F" w:themeColor="text1" w:themeTint="80"/>
                <w:lang w:val="m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68A324D6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97D06" w:rsidRPr="000D2F0A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6B0A8531" w:rsidR="00F97D06" w:rsidRPr="000D2F0A" w:rsidRDefault="00F97D06" w:rsidP="00F97D06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Sit web tal-awtorità ta’ ġestjoni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55C9202D" w:rsidR="00F97D06" w:rsidRPr="000D2F0A" w:rsidRDefault="00F97D06" w:rsidP="00F97D0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97D06" w:rsidRPr="002D70B3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F97D06" w:rsidRPr="000D2F0A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7C2334AA" w14:textId="77777777" w:rsidR="00F97D06" w:rsidRPr="002D70B3" w:rsidRDefault="00F97D06" w:rsidP="00F97D06">
            <w:pPr>
              <w:rPr>
                <w:rFonts w:ascii="EC Square Sans Cond Pro" w:hAnsi="EC Square Sans Cond Pro" w:cs="Arial"/>
                <w:bCs/>
                <w:color w:val="000000" w:themeColor="text1"/>
                <w:lang w:val="mt"/>
              </w:rPr>
            </w:pPr>
            <w:r w:rsidRPr="000D2F0A">
              <w:rPr>
                <w:rFonts w:ascii="EC Square Sans Cond Pro" w:hAnsi="EC Square Sans Cond Pro" w:cs="Arial"/>
                <w:color w:val="000000" w:themeColor="text1"/>
                <w:lang w:val="mt"/>
              </w:rPr>
              <w:t xml:space="preserve">Ippjanar provviżorju tal-avveniment / attività ta’ komunikazzjoni – x’tip ta’ azzjonijiet ta’ komunikazzjoni qed jiġu ppjanati? X’tip ta’ involviment tar-rappreżentanti tal-Kummissjoni u tal-awtorità ta’ ġestjoni huwa ppjanat? </w:t>
            </w:r>
          </w:p>
          <w:p w14:paraId="0B2E59B6" w14:textId="6DA8484E" w:rsidR="00F97D06" w:rsidRPr="00F97D06" w:rsidRDefault="00F97D06" w:rsidP="00F97D06">
            <w:pPr>
              <w:rPr>
                <w:rFonts w:ascii="EC Square Sans Cond Pro" w:hAnsi="EC Square Sans Cond Pro" w:cs="Arial"/>
                <w:bCs/>
                <w:color w:val="FFFFFF" w:themeColor="background1"/>
                <w:lang w:val="mt"/>
              </w:rPr>
            </w:pPr>
            <w:r w:rsidRPr="000D2F0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mt"/>
              </w:rPr>
              <w:t>Kif spjegat fl-Artikolu 50 (1)(e). Jekk jogħġbok ipprovdi informazzjoni dwar attivitajiet organizzati mill-benefiċjarju u l-awtorità ta’ ġestjoni, jekk diġà hemm previsti.</w:t>
            </w:r>
            <w:r w:rsidRPr="000D2F0A">
              <w:rPr>
                <w:rFonts w:ascii="EC Square Sans Cond Pro" w:hAnsi="EC Square Sans Cond Pro" w:cs="Arial"/>
                <w:color w:val="7F7F7F" w:themeColor="text1" w:themeTint="80"/>
                <w:lang w:val="m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4941E9B7" w:rsidR="00F97D06" w:rsidRPr="002D70B3" w:rsidRDefault="00F97D06" w:rsidP="00F97D0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mt"/>
              </w:rPr>
            </w:pPr>
          </w:p>
        </w:tc>
      </w:tr>
    </w:tbl>
    <w:p w14:paraId="511EB352" w14:textId="282692AA" w:rsidR="001F087D" w:rsidRPr="002D70B3" w:rsidRDefault="001F087D">
      <w:pPr>
        <w:rPr>
          <w:rFonts w:ascii="EC Square Sans Cond Pro" w:hAnsi="EC Square Sans Cond Pro"/>
          <w:lang w:val="mt"/>
        </w:rPr>
      </w:pPr>
    </w:p>
    <w:sectPr w:rsidR="001F087D" w:rsidRPr="002D7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946853" w:rsidRDefault="00F75FD1" w:rsidP="00F75FD1">
      <w:pPr>
        <w:pStyle w:val="FootnoteText"/>
        <w:rPr>
          <w:rFonts w:ascii="EC Square Sans Cond Pro" w:hAnsi="EC Square Sans Cond Pro" w:cs="Arial"/>
        </w:rPr>
      </w:pPr>
      <w:r>
        <w:rPr>
          <w:rFonts w:ascii="EC Square Sans Cond Pro" w:hAnsi="EC Square Sans Cond Pro"/>
          <w:lang w:val="mt"/>
        </w:rPr>
        <w:footnoteRef/>
      </w:r>
      <w:r>
        <w:rPr>
          <w:rFonts w:ascii="EC Square Sans Cond Pro" w:hAnsi="EC Square Sans Cond Pro"/>
          <w:lang w:val="mt"/>
        </w:rPr>
        <w:t xml:space="preserve"> Ibbażata fuq l-Artikolu 73(5) tas-RDK.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</w:rPr>
      </w:pPr>
      <w:r>
        <w:rPr>
          <w:rFonts w:ascii="EC Square Sans Cond Pro" w:hAnsi="EC Square Sans Cond Pro"/>
          <w:color w:val="FF0000"/>
          <w:sz w:val="20"/>
          <w:szCs w:val="20"/>
          <w:lang w:val="mt"/>
        </w:rPr>
        <w:t>*</w:t>
      </w:r>
      <w:r>
        <w:rPr>
          <w:rFonts w:ascii="EC Square Sans Cond Pro" w:hAnsi="EC Square Sans Cond Pro"/>
          <w:sz w:val="20"/>
          <w:szCs w:val="20"/>
          <w:lang w:val="mt"/>
        </w:rPr>
        <w:t xml:space="preserve"> Qasam obbligatorju (meħtieġ fil-qafas tal-Artikolu 73(5) tas-CPR).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D2F0A"/>
    <w:rsid w:val="000F7A4F"/>
    <w:rsid w:val="0010306D"/>
    <w:rsid w:val="001A6A3A"/>
    <w:rsid w:val="001E2C5D"/>
    <w:rsid w:val="001F087D"/>
    <w:rsid w:val="00217448"/>
    <w:rsid w:val="00234A4A"/>
    <w:rsid w:val="0024433E"/>
    <w:rsid w:val="00247E2A"/>
    <w:rsid w:val="002602E1"/>
    <w:rsid w:val="0028785F"/>
    <w:rsid w:val="002D70B3"/>
    <w:rsid w:val="004707AD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D30F4E"/>
    <w:rsid w:val="00DF72F1"/>
    <w:rsid w:val="00E27953"/>
    <w:rsid w:val="00F75FD1"/>
    <w:rsid w:val="00F97D06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19</cp:revision>
  <cp:lastPrinted>2023-04-24T09:08:00Z</cp:lastPrinted>
  <dcterms:created xsi:type="dcterms:W3CDTF">2023-02-23T10:12:00Z</dcterms:created>
  <dcterms:modified xsi:type="dcterms:W3CDTF">2023-12-05T10:43:00Z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